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jc w:val="center"/>
      </w:pPr>
      <w:r>
        <w:rPr>
          <w:rFonts w:ascii="Arial" w:cs="Arial" w:eastAsia="Arial" w:hAnsi="Arial"/>
          <w:b/>
          <w:bCs/>
          <w:color w:val="1F3864"/>
          <w:sz w:val="24"/>
          <w:szCs w:val="24"/>
        </w:rPr>
        <w:t xml:space="preserve">CHAMBRE NATIONALE DES COMMISSAIRES AUX COMPTES (CNCC)</w:t>
      </w:r>
    </w:p>
    <w:p>
      <w:pPr>
        <w:pBdr>
          <w:bottom w:val="single" w:color="2E7D32" w:sz="12" w:space="1"/>
        </w:pBdr>
        <w:spacing w:after="120"/>
      </w:pPr>
    </w:p>
    <w:p>
      <w:pPr>
        <w:spacing w:after="200" w:before="600"/>
        <w:jc w:val="center"/>
      </w:pPr>
      <w:r>
        <w:rPr>
          <w:rFonts w:ascii="Arial" w:cs="Arial" w:eastAsia="Arial" w:hAnsi="Arial"/>
          <w:b/>
          <w:bCs/>
          <w:color w:val="1F3864"/>
          <w:sz w:val="44"/>
          <w:szCs w:val="44"/>
        </w:rPr>
        <w:t xml:space="preserve">PLAN D’ACTION ET MOYENS DE MISE EN ŒUVRE</w:t>
      </w:r>
    </w:p>
    <w:p>
      <w:pPr>
        <w:spacing w:after="200"/>
        <w:jc w:val="center"/>
      </w:pPr>
      <w:r>
        <w:rPr>
          <w:rFonts w:ascii="Arial" w:cs="Arial" w:eastAsia="Arial" w:hAnsi="Arial"/>
          <w:color w:val="2E75B6"/>
          <w:sz w:val="28"/>
          <w:szCs w:val="28"/>
        </w:rPr>
        <w:t xml:space="preserve">Programme National de Formation Continue des Commissaires aux Comptes</w:t>
      </w:r>
    </w:p>
    <w:p>
      <w:pPr>
        <w:spacing w:after="600"/>
        <w:jc w:val="center"/>
      </w:pPr>
      <w:r>
        <w:rPr>
          <w:rFonts w:ascii="Arial" w:cs="Arial" w:eastAsia="Arial" w:hAnsi="Arial"/>
          <w:i/>
          <w:iCs/>
          <w:color w:val="595959"/>
          <w:sz w:val="24"/>
          <w:szCs w:val="24"/>
        </w:rPr>
        <w:t xml:space="preserve">42 heures · 7 journées · 630 inscrits · 21 groupes de 30</w:t>
      </w:r>
    </w:p>
    <w:p>
      <w:pPr>
        <w:pBdr>
          <w:bottom w:val="single" w:color="2E75B6" w:sz="8" w:space="1"/>
        </w:pBdr>
        <w:spacing w:after="120"/>
      </w:pPr>
    </w:p>
    <w:p>
      <w:pPr>
        <w:spacing w:before="400"/>
        <w:jc w:val="center"/>
      </w:pPr>
      <w:r>
        <w:rPr>
          <w:rFonts w:ascii="Arial" w:cs="Arial" w:eastAsia="Arial" w:hAnsi="Arial"/>
          <w:color w:val="595959"/>
          <w:sz w:val="22"/>
          <w:szCs w:val="22"/>
        </w:rPr>
        <w:t xml:space="preserve">Référentiel : NAA – SCF – Loi 10-01 – NAGQ 1</w:t>
      </w:r>
    </w:p>
    <w:p>
      <w:pPr>
        <w:spacing w:before="1200"/>
        <w:jc w:val="center"/>
      </w:pPr>
      <w:r>
        <w:rPr>
          <w:rFonts w:ascii="Arial" w:cs="Arial" w:eastAsia="Arial" w:hAnsi="Arial"/>
          <w:b/>
          <w:bCs/>
          <w:color w:val="1F3864"/>
          <w:sz w:val="24"/>
          <w:szCs w:val="24"/>
        </w:rPr>
        <w:t xml:space="preserve">Juin 2026</w:t>
      </w:r>
    </w:p>
    <w:p>
      <w:r>
        <w:br w:type="page"/>
      </w:r>
    </w:p>
    <w:p>
      <w:pPr>
        <w:pStyle w:val="Heading1"/>
      </w:pPr>
      <w:r>
        <w:rPr>
          <w:rFonts w:ascii="Arial" w:cs="Arial" w:eastAsia="Arial" w:hAnsi="Arial"/>
        </w:rPr>
        <w:t xml:space="preserve">Sommaire</w:t>
      </w:r>
    </w:p>
    <w:sdt>
      <w:sdtPr>
        <w:alias w:val="Sommaire"/>
      </w:sdtPr>
      <w:sdtContent>
        <w:p>
          <w:r>
            <w:fldChar w:fldCharType="begin" w:dirty="true"/>
            <w:instrText xml:space="preserve">TOC \h \o "1-2"</w:instrText>
            <w:fldChar w:fldCharType="separate"/>
          </w:r>
        </w:p>
        <w:p>
          <w:r>
            <w:fldChar w:fldCharType="end"/>
          </w:r>
        </w:p>
      </w:sdtContent>
    </w:sdt>
    <w:p>
      <w:r>
        <w:br w:type="page"/>
      </w:r>
    </w:p>
    <w:p>
      <w:pPr>
        <w:pStyle w:val="Heading1"/>
      </w:pPr>
      <w:r>
        <w:rPr>
          <w:rFonts w:ascii="Arial" w:cs="Arial" w:eastAsia="Arial" w:hAnsi="Arial"/>
        </w:rPr>
        <w:t xml:space="preserve">1. Synthèse exécutive et chiffres clés</w:t>
      </w:r>
    </w:p>
    <w:p>
      <w:pPr>
        <w:spacing w:after="120" w:before="0"/>
      </w:pPr>
      <w:r>
        <w:rPr>
          <w:rFonts w:ascii="Arial" w:cs="Arial" w:eastAsia="Arial" w:hAnsi="Arial"/>
          <w:sz w:val="22"/>
          <w:szCs w:val="22"/>
        </w:rPr>
        <w:t xml:space="preserve">Ce plan d’action définit l’organisation, le calendrier, les ressources humaines et matérielles ainsi que le dispositif de pilotage permettant de déployer le programme national de formation continue de 42 heures auprès des 630 commissaires aux comptes inscrits, par groupes de 30 stagiaires.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Indicateur</w:t>
            </w:r>
          </w:p>
        </w:tc>
        <w:tc>
          <w:tcPr>
            <w:tcW w:type="dxa" w:w="312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Donnée</w:t>
            </w:r>
          </w:p>
        </w:tc>
        <w:tc>
          <w:tcPr>
            <w:tcW w:type="dxa" w:w="312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Calcul / commentaire</w:t>
            </w:r>
          </w:p>
        </w:tc>
      </w:tr>
      <w:tr>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Inscrits</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630</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Population totale à former</w:t>
            </w:r>
          </w:p>
        </w:tc>
      </w:tr>
      <w:tr>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Taille de groupe</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30</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Effectif pédagogique cible (interactivité)</w:t>
            </w:r>
          </w:p>
        </w:tc>
      </w:tr>
      <w:tr>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Nombre de groupes</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21</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630 ÷ 30 = 21 groupes</w:t>
            </w:r>
          </w:p>
        </w:tc>
      </w:tr>
      <w:tr>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Durée par groupe</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7 jours / 42 h</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6 h effectives par jour</w:t>
            </w:r>
          </w:p>
        </w:tc>
      </w:tr>
      <w:tr>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Jours-formation à produire</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147</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21 groupes × 7 jours</w:t>
            </w:r>
          </w:p>
        </w:tc>
      </w:tr>
      <w:tr>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Heures-stagiaire totales</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26 460</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630 × 42 h</w:t>
            </w:r>
          </w:p>
        </w:tc>
      </w:tr>
      <w:tr>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Formateurs requis (vivier)</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8 à 12</w:t>
            </w:r>
          </w:p>
        </w:tc>
        <w:tc>
          <w:tcPr>
            <w:tcW w:type="dxa" w:w="312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CAC inscrits CNCC + intervenants spécialisés</w:t>
            </w:r>
          </w:p>
        </w:tc>
      </w:tr>
      <w:tr>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Attestations à délivrer</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630</w:t>
            </w:r>
          </w:p>
        </w:tc>
        <w:tc>
          <w:tcPr>
            <w:tcW w:type="dxa" w:w="312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1 par stagiaire ayant satisfait à l’évaluation</w:t>
            </w:r>
          </w:p>
        </w:tc>
      </w:tr>
    </w:tbl>
    <w:p>
      <w:pPr>
        <w:spacing w:after="80"/>
      </w:pPr>
    </w:p>
    <w:p>
      <w:pPr>
        <w:spacing w:after="40" w:before="0"/>
      </w:pPr>
      <w:r>
        <w:rPr>
          <w:rFonts w:ascii="Arial" w:cs="Arial" w:eastAsia="Arial" w:hAnsi="Arial"/>
          <w:b/>
          <w:bCs/>
          <w:sz w:val="22"/>
          <w:szCs w:val="22"/>
        </w:rPr>
        <w:t xml:space="preserve">Hypothèse de capacité retenue : </w:t>
      </w:r>
    </w:p>
    <w:p>
      <w:pPr>
        <w:pStyle w:val="ListParagraph"/>
        <w:numPr>
          <w:ilvl w:val="0"/>
          <w:numId w:val="2"/>
        </w:numPr>
        <w:spacing w:after="60"/>
      </w:pPr>
      <w:r>
        <w:rPr>
          <w:rFonts w:ascii="Arial" w:cs="Arial" w:eastAsia="Arial" w:hAnsi="Arial"/>
          <w:sz w:val="22"/>
          <w:szCs w:val="22"/>
        </w:rPr>
        <w:t xml:space="preserve">5 salles/sessions menées en parallèle → 5 groupes par vague → 5 vagues pour écouler les 21 groupes (soit ~ 4 à 5 mois calendaires en tenant compte des intervalles).</w:t>
      </w:r>
    </w:p>
    <w:p>
      <w:pPr>
        <w:pStyle w:val="ListParagraph"/>
        <w:numPr>
          <w:ilvl w:val="0"/>
          <w:numId w:val="2"/>
        </w:numPr>
        <w:spacing w:after="60"/>
      </w:pPr>
      <w:r>
        <w:rPr>
          <w:rFonts w:ascii="Arial" w:cs="Arial" w:eastAsia="Arial" w:hAnsi="Arial"/>
          <w:sz w:val="22"/>
          <w:szCs w:val="22"/>
        </w:rPr>
        <w:t xml:space="preserve">Scénario accéléré : 7 salles en parallèle → 3 vagues seulement (~ 2,5 à 3 mois).</w:t>
      </w:r>
    </w:p>
    <w:p>
      <w:pPr>
        <w:pStyle w:val="ListParagraph"/>
        <w:numPr>
          <w:ilvl w:val="0"/>
          <w:numId w:val="2"/>
        </w:numPr>
        <w:spacing w:after="60"/>
      </w:pPr>
      <w:r>
        <w:rPr>
          <w:rFonts w:ascii="Arial" w:cs="Arial" w:eastAsia="Arial" w:hAnsi="Arial"/>
          <w:sz w:val="22"/>
          <w:szCs w:val="22"/>
        </w:rPr>
        <w:t xml:space="preserve">Scénario prudent : 3 salles → 7 vagues (~ 6 à 7 mois).</w:t>
      </w:r>
    </w:p>
    <w:p>
      <w:r>
        <w:br w:type="page"/>
      </w:r>
    </w:p>
    <w:p>
      <w:pPr>
        <w:pStyle w:val="Heading1"/>
      </w:pPr>
      <w:r>
        <w:rPr>
          <w:rFonts w:ascii="Arial" w:cs="Arial" w:eastAsia="Arial" w:hAnsi="Arial"/>
        </w:rPr>
        <w:t xml:space="preserve">2. Objectifs et périmètre du plan d’action</w:t>
      </w:r>
    </w:p>
    <w:p>
      <w:pPr>
        <w:pStyle w:val="ListParagraph"/>
        <w:numPr>
          <w:ilvl w:val="0"/>
          <w:numId w:val="2"/>
        </w:numPr>
        <w:spacing w:after="60"/>
      </w:pPr>
      <w:r>
        <w:rPr>
          <w:rFonts w:ascii="Arial" w:cs="Arial" w:eastAsia="Arial" w:hAnsi="Arial"/>
          <w:sz w:val="22"/>
          <w:szCs w:val="22"/>
        </w:rPr>
        <w:t xml:space="preserve">Former l’intégralité des 630 inscrits dans les délais retenus par la CNCC, sans dégradation de la qualité pédagogique.</w:t>
      </w:r>
    </w:p>
    <w:p>
      <w:pPr>
        <w:pStyle w:val="ListParagraph"/>
        <w:numPr>
          <w:ilvl w:val="0"/>
          <w:numId w:val="2"/>
        </w:numPr>
        <w:spacing w:after="60"/>
      </w:pPr>
      <w:r>
        <w:rPr>
          <w:rFonts w:ascii="Arial" w:cs="Arial" w:eastAsia="Arial" w:hAnsi="Arial"/>
          <w:sz w:val="22"/>
          <w:szCs w:val="22"/>
        </w:rPr>
        <w:t xml:space="preserve">Garantir l’homogénéité du contenu (même programme, mêmes supports, même évaluation) sur l’ensemble des 21 groupes.</w:t>
      </w:r>
    </w:p>
    <w:p>
      <w:pPr>
        <w:pStyle w:val="ListParagraph"/>
        <w:numPr>
          <w:ilvl w:val="0"/>
          <w:numId w:val="2"/>
        </w:numPr>
        <w:spacing w:after="60"/>
      </w:pPr>
      <w:r>
        <w:rPr>
          <w:rFonts w:ascii="Arial" w:cs="Arial" w:eastAsia="Arial" w:hAnsi="Arial"/>
          <w:sz w:val="22"/>
          <w:szCs w:val="22"/>
        </w:rPr>
        <w:t xml:space="preserve">Assurer la traçabilité administrative : émargement, évaluation, attestations imputables aux obligations de formation continue.</w:t>
      </w:r>
    </w:p>
    <w:p>
      <w:pPr>
        <w:pStyle w:val="ListParagraph"/>
        <w:numPr>
          <w:ilvl w:val="0"/>
          <w:numId w:val="2"/>
        </w:numPr>
        <w:spacing w:after="60"/>
      </w:pPr>
      <w:r>
        <w:rPr>
          <w:rFonts w:ascii="Arial" w:cs="Arial" w:eastAsia="Arial" w:hAnsi="Arial"/>
          <w:sz w:val="22"/>
          <w:szCs w:val="22"/>
        </w:rPr>
        <w:t xml:space="preserve">Optimiser les coûts logistiques (salles, déplacements, supports) par une planification par vagues et par régions.</w:t>
      </w:r>
    </w:p>
    <w:p>
      <w:pPr>
        <w:pStyle w:val="ListParagraph"/>
        <w:numPr>
          <w:ilvl w:val="0"/>
          <w:numId w:val="2"/>
        </w:numPr>
        <w:spacing w:after="60"/>
      </w:pPr>
      <w:r>
        <w:rPr>
          <w:rFonts w:ascii="Arial" w:cs="Arial" w:eastAsia="Arial" w:hAnsi="Arial"/>
          <w:sz w:val="22"/>
          <w:szCs w:val="22"/>
        </w:rPr>
        <w:t xml:space="preserve">Sécuriser la conformé du dispositif vis-à-vis du contrôle qualité de la CNCC.</w:t>
      </w:r>
    </w:p>
    <w:p>
      <w:pPr>
        <w:spacing w:after="80"/>
      </w:pPr>
    </w:p>
    <w:p>
      <w:pPr>
        <w:pStyle w:val="Heading1"/>
      </w:pPr>
      <w:r>
        <w:rPr>
          <w:rFonts w:ascii="Arial" w:cs="Arial" w:eastAsia="Arial" w:hAnsi="Arial"/>
        </w:rPr>
        <w:t xml:space="preserve">3. Gouvernance et organisation de projet</w:t>
      </w:r>
    </w:p>
    <w:p>
      <w:pPr>
        <w:pStyle w:val="Heading2"/>
      </w:pPr>
      <w:r>
        <w:rPr>
          <w:rFonts w:ascii="Arial" w:cs="Arial" w:eastAsia="Arial" w:hAnsi="Arial"/>
        </w:rPr>
        <w:t xml:space="preserve">3.1 Instances de pilotage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Instance</w:t>
            </w:r>
          </w:p>
        </w:tc>
        <w:tc>
          <w:tcPr>
            <w:tcW w:type="dxa" w:w="3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Composition</w:t>
            </w:r>
          </w:p>
        </w:tc>
        <w:tc>
          <w:tcPr>
            <w:tcW w:type="dxa" w:w="33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Rôle</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Comité de pilotage (COPIL)</w:t>
            </w:r>
          </w:p>
        </w:tc>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Président CNCC, Directeur formation, représentant Ministère des Finances/CNC</w:t>
            </w:r>
          </w:p>
        </w:tc>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Validation stratégique, budget, calendrier, arbitrages</w:t>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Direction de programme</w:t>
            </w:r>
          </w:p>
        </w:tc>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Chef de projet formation CNCC + assistant</w:t>
            </w:r>
          </w:p>
        </w:tc>
        <w:tc>
          <w:tcPr>
            <w:tcW w:type="dxa" w:w="33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Pilotage opérationnel quotidien, reporting au COPIL</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Coordination pédagogique</w:t>
            </w:r>
          </w:p>
        </w:tc>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Responsable pédagogique + formateurs référents</w:t>
            </w:r>
          </w:p>
        </w:tc>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Harmonisation contenus, formation des formateurs, qualité</w:t>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Coordination logistique</w:t>
            </w:r>
          </w:p>
        </w:tc>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Responsable logistique + correspondants régionaux</w:t>
            </w:r>
          </w:p>
        </w:tc>
        <w:tc>
          <w:tcPr>
            <w:tcW w:type="dxa" w:w="33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Salles, matériel, supports, restauration, convocations</w:t>
            </w:r>
          </w:p>
        </w:tc>
      </w:tr>
      <w:tr>
        <w:tc>
          <w:tcPr>
            <w:tcW w:type="dxa" w:w="2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Cellule administrative</w:t>
            </w:r>
          </w:p>
        </w:tc>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Gestionnaires inscriptions/attestations</w:t>
            </w:r>
          </w:p>
        </w:tc>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Listes, émargement, attestations, archivage</w:t>
            </w:r>
          </w:p>
        </w:tc>
      </w:tr>
    </w:tbl>
    <w:p>
      <w:pPr>
        <w:spacing w:after="80"/>
      </w:pPr>
    </w:p>
    <w:p>
      <w:pPr>
        <w:pStyle w:val="Heading2"/>
      </w:pPr>
      <w:r>
        <w:rPr>
          <w:rFonts w:ascii="Arial" w:cs="Arial" w:eastAsia="Arial" w:hAnsi="Arial"/>
        </w:rPr>
        <w:t xml:space="preserve">3.2 Matrice des responsabilités (RACI – extrait)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500"/>
        <w:gridCol w:w="1500"/>
        <w:gridCol w:w="1500"/>
        <w:gridCol w:w="1500"/>
      </w:tblGrid>
      <w:tr>
        <w:trPr>
          <w:tblHeader/>
        </w:trPr>
        <w:tc>
          <w:tcPr>
            <w:tcW w:type="dxa" w:w="33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Activité</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COPIL</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Dir. prog.</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Coord. péda.</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Coord. log.</w:t>
            </w:r>
          </w:p>
        </w:tc>
      </w:tr>
      <w:tr>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Validation calendrier</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r>
      <w:tr>
        <w:tc>
          <w:tcPr>
            <w:tcW w:type="dxa" w:w="33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Constitution des groupes</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r>
      <w:tr>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Formation des formateurs</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r>
      <w:tr>
        <w:tc>
          <w:tcPr>
            <w:tcW w:type="dxa" w:w="33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Réservation salles &amp; matériel</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r>
      <w:tr>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Production des supports</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r>
      <w:tr>
        <w:tc>
          <w:tcPr>
            <w:tcW w:type="dxa" w:w="33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Évaluation &amp; attestations</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I</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r>
      <w:tr>
        <w:tc>
          <w:tcPr>
            <w:tcW w:type="dxa" w:w="33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Reporting &amp; bilan</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A</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R</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C</w:t>
            </w:r>
          </w:p>
        </w:tc>
      </w:tr>
    </w:tbl>
    <w:p>
      <w:pPr>
        <w:spacing w:after="120" w:before="60"/>
      </w:pPr>
      <w:r>
        <w:rPr>
          <w:rFonts w:ascii="Arial" w:cs="Arial" w:eastAsia="Arial" w:hAnsi="Arial"/>
          <w:i/>
          <w:iCs/>
          <w:color w:val="595959"/>
          <w:sz w:val="18"/>
          <w:szCs w:val="18"/>
        </w:rPr>
        <w:t xml:space="preserve">R = Réalise · A = Approuve · C = Consulté · I = Informé</w:t>
      </w:r>
    </w:p>
    <w:p>
      <w:r>
        <w:br w:type="page"/>
      </w:r>
    </w:p>
    <w:p>
      <w:pPr>
        <w:pStyle w:val="Heading1"/>
      </w:pPr>
      <w:r>
        <w:rPr>
          <w:rFonts w:ascii="Arial" w:cs="Arial" w:eastAsia="Arial" w:hAnsi="Arial"/>
        </w:rPr>
        <w:t xml:space="preserve">4. Constitution des 21 groupes</w:t>
      </w:r>
    </w:p>
    <w:p>
      <w:pPr>
        <w:spacing w:after="120" w:before="0"/>
      </w:pPr>
      <w:r>
        <w:rPr>
          <w:rFonts w:ascii="Arial" w:cs="Arial" w:eastAsia="Arial" w:hAnsi="Arial"/>
          <w:sz w:val="22"/>
          <w:szCs w:val="22"/>
        </w:rPr>
        <w:t xml:space="preserve">Les 630 inscrits sont répartis en 21 groupes de 30. La constitution tient compte de la région d’exercice (pour limiter les déplacements) et, autant que possible, du niveau d’expérience issu de l’auto-positionnement amont.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80"/>
        <w:gridCol w:w="2480"/>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Pôle régional</w:t>
            </w:r>
          </w:p>
        </w:tc>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Groupes (indicatif)</w:t>
            </w:r>
          </w:p>
        </w:tc>
        <w:tc>
          <w:tcPr>
            <w:tcW w:type="dxa" w:w="248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Stagiaires</w:t>
            </w:r>
          </w:p>
        </w:tc>
        <w:tc>
          <w:tcPr>
            <w:tcW w:type="dxa" w:w="248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Centre d’accueil</w:t>
            </w:r>
          </w:p>
        </w:tc>
      </w:tr>
      <w:tr>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Centre (Alger)</w:t>
            </w:r>
          </w:p>
        </w:tc>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8 groupes</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240</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Centre agréé CNCC / université</w:t>
            </w:r>
          </w:p>
        </w:tc>
      </w:tr>
      <w:tr>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Est (Constantine, Sétif, Annaba)</w:t>
            </w:r>
          </w:p>
        </w:tc>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5 groupes</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150</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Centre régional Est</w:t>
            </w:r>
          </w:p>
        </w:tc>
      </w:tr>
      <w:tr>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Ouest (Oran, Tlemcen)</w:t>
            </w:r>
          </w:p>
        </w:tc>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4 groupes</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120</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Centre régional Ouest</w:t>
            </w:r>
          </w:p>
        </w:tc>
      </w:tr>
      <w:tr>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Sud (Ouargla, Béchar, Ghardaïa)</w:t>
            </w:r>
          </w:p>
        </w:tc>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2 groupes</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60</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Centre régional Sud / distanciel</w:t>
            </w:r>
          </w:p>
        </w:tc>
      </w:tr>
      <w:tr>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Mixte / distanciel synchrone</w:t>
            </w:r>
          </w:p>
        </w:tc>
        <w:tc>
          <w:tcPr>
            <w:tcW w:type="dxa" w:w="22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2 groupes</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60</w:t>
            </w:r>
          </w:p>
        </w:tc>
        <w:tc>
          <w:tcPr>
            <w:tcW w:type="dxa" w:w="24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Plateforme en ligne</w:t>
            </w:r>
          </w:p>
        </w:tc>
      </w:tr>
      <w:tr>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TOTAL</w:t>
            </w:r>
          </w:p>
        </w:tc>
        <w:tc>
          <w:tcPr>
            <w:tcW w:type="dxa" w:w="2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21 groupes</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630</w:t>
            </w:r>
          </w:p>
        </w:tc>
        <w:tc>
          <w:tcPr>
            <w:tcW w:type="dxa" w:w="24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w:t>
            </w:r>
          </w:p>
        </w:tc>
      </w:tr>
    </w:tbl>
    <w:p>
      <w:pPr>
        <w:spacing w:after="120" w:before="80"/>
      </w:pPr>
      <w:r>
        <w:rPr>
          <w:rFonts w:ascii="Arial" w:cs="Arial" w:eastAsia="Arial" w:hAnsi="Arial"/>
          <w:i/>
          <w:iCs/>
          <w:color w:val="595959"/>
          <w:sz w:val="19"/>
          <w:szCs w:val="19"/>
        </w:rPr>
        <w:t xml:space="preserve">La répartition régionale ci-dessus est indicative et sera ajustée selon la cartographie réelle des inscrits. Le format distanciel synchrone est réservé aux zones éloignées, le présentiel restant recommandé pour les échanges.</w:t>
      </w:r>
    </w:p>
    <w:p>
      <w:r>
        <w:br w:type="page"/>
      </w:r>
    </w:p>
    <w:p>
      <w:pPr>
        <w:pStyle w:val="Heading1"/>
      </w:pPr>
      <w:r>
        <w:rPr>
          <w:rFonts w:ascii="Arial" w:cs="Arial" w:eastAsia="Arial" w:hAnsi="Arial"/>
        </w:rPr>
        <w:t xml:space="preserve">5. Calendrier et phasage</w:t>
      </w:r>
    </w:p>
    <w:p>
      <w:pPr>
        <w:pStyle w:val="Heading2"/>
      </w:pPr>
      <w:r>
        <w:rPr>
          <w:rFonts w:ascii="Arial" w:cs="Arial" w:eastAsia="Arial" w:hAnsi="Arial"/>
        </w:rPr>
        <w:t xml:space="preserve">5.1 Phases du projet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400"/>
        <w:gridCol w:w="1800"/>
        <w:gridCol w:w="2560"/>
      </w:tblGrid>
      <w:tr>
        <w:trPr>
          <w:tblHeader/>
        </w:trPr>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Phase</w:t>
            </w:r>
          </w:p>
        </w:tc>
        <w:tc>
          <w:tcPr>
            <w:tcW w:type="dxa" w:w="3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Contenu</w:t>
            </w:r>
          </w:p>
        </w:tc>
        <w:tc>
          <w:tcPr>
            <w:tcW w:type="dxa" w:w="1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Durée</w:t>
            </w:r>
          </w:p>
        </w:tc>
        <w:tc>
          <w:tcPr>
            <w:tcW w:type="dxa" w:w="25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Livrables</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P0 – Préparation</w:t>
            </w:r>
          </w:p>
        </w:tc>
        <w:tc>
          <w:tcPr>
            <w:tcW w:type="dxa" w:w="3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Validation COPIL, budget, choix centres, contrats formateurs</w:t>
            </w:r>
          </w:p>
        </w:tc>
        <w:tc>
          <w:tcPr>
            <w:tcW w:type="dxa" w:w="18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3 – 4 semaines</w:t>
            </w:r>
          </w:p>
        </w:tc>
        <w:tc>
          <w:tcPr>
            <w:tcW w:type="dxa" w:w="2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Plan validé, budget engagé</w:t>
            </w:r>
          </w:p>
        </w:tc>
      </w:tr>
      <w:tr>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P1 – Ingénierie</w:t>
            </w:r>
          </w:p>
        </w:tc>
        <w:tc>
          <w:tcPr>
            <w:tcW w:type="dxa" w:w="3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Finalisation supports, 67 outils, banque de QCM, plateforme</w:t>
            </w:r>
          </w:p>
        </w:tc>
        <w:tc>
          <w:tcPr>
            <w:tcW w:type="dxa" w:w="1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3 semaines</w:t>
            </w:r>
          </w:p>
        </w:tc>
        <w:tc>
          <w:tcPr>
            <w:tcW w:type="dxa" w:w="25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Kit pédagogique complet</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P2 – Formation des formateurs</w:t>
            </w:r>
          </w:p>
        </w:tc>
        <w:tc>
          <w:tcPr>
            <w:tcW w:type="dxa" w:w="3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Atelier d’harmonisation, calibrage des cas</w:t>
            </w:r>
          </w:p>
        </w:tc>
        <w:tc>
          <w:tcPr>
            <w:tcW w:type="dxa" w:w="18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1 semaine</w:t>
            </w:r>
          </w:p>
        </w:tc>
        <w:tc>
          <w:tcPr>
            <w:tcW w:type="dxa" w:w="2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Formateurs habilités</w:t>
            </w:r>
          </w:p>
        </w:tc>
      </w:tr>
      <w:tr>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P3 – Déploiement par vagues</w:t>
            </w:r>
          </w:p>
        </w:tc>
        <w:tc>
          <w:tcPr>
            <w:tcW w:type="dxa" w:w="3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21 groupes × 7 jours selon planning des vagues</w:t>
            </w:r>
          </w:p>
        </w:tc>
        <w:tc>
          <w:tcPr>
            <w:tcW w:type="dxa" w:w="1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2,5 – 6 mois*</w:t>
            </w:r>
          </w:p>
        </w:tc>
        <w:tc>
          <w:tcPr>
            <w:tcW w:type="dxa" w:w="25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Sessions réalisées, émargements</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P4 – Évaluation &amp; clôture</w:t>
            </w:r>
          </w:p>
        </w:tc>
        <w:tc>
          <w:tcPr>
            <w:tcW w:type="dxa" w:w="34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Correction, attestations, bilan, retour CNCC</w:t>
            </w:r>
          </w:p>
        </w:tc>
        <w:tc>
          <w:tcPr>
            <w:tcW w:type="dxa" w:w="18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2 – 3 semaines</w:t>
            </w:r>
          </w:p>
        </w:tc>
        <w:tc>
          <w:tcPr>
            <w:tcW w:type="dxa" w:w="2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Attestations, rapport bilan</w:t>
            </w:r>
          </w:p>
        </w:tc>
      </w:tr>
    </w:tbl>
    <w:p>
      <w:pPr>
        <w:spacing w:after="120" w:before="60"/>
      </w:pPr>
      <w:r>
        <w:rPr>
          <w:rFonts w:ascii="Arial" w:cs="Arial" w:eastAsia="Arial" w:hAnsi="Arial"/>
          <w:i/>
          <w:iCs/>
          <w:color w:val="595959"/>
          <w:sz w:val="18"/>
          <w:szCs w:val="18"/>
        </w:rPr>
        <w:t xml:space="preserve">* Selon le nombre de salles menées en parallèle (voir scénarios § 1).</w:t>
      </w:r>
    </w:p>
    <w:p>
      <w:pPr>
        <w:spacing w:after="80"/>
      </w:pPr>
    </w:p>
    <w:p>
      <w:pPr>
        <w:pStyle w:val="Heading2"/>
      </w:pPr>
      <w:r>
        <w:rPr>
          <w:rFonts w:ascii="Arial" w:cs="Arial" w:eastAsia="Arial" w:hAnsi="Arial"/>
        </w:rPr>
        <w:t xml:space="preserve">5.2 Logique des vagues (scénario 5 salles – 5 vagues)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600"/>
        <w:gridCol w:w="3560"/>
      </w:tblGrid>
      <w:tr>
        <w:trPr>
          <w:tblHeader/>
        </w:trPr>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Vague</w:t>
            </w:r>
          </w:p>
        </w:tc>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Groupes traités</w:t>
            </w:r>
          </w:p>
        </w:tc>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Cumul</w:t>
            </w:r>
          </w:p>
        </w:tc>
        <w:tc>
          <w:tcPr>
            <w:tcW w:type="dxa" w:w="35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Période indicative</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Vague 1</w:t>
            </w:r>
          </w:p>
        </w:tc>
        <w:tc>
          <w:tcPr>
            <w:tcW w:type="dxa" w:w="2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Groupes 1 à 5</w:t>
            </w:r>
          </w:p>
        </w:tc>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150</w:t>
            </w:r>
          </w:p>
        </w:tc>
        <w:tc>
          <w:tcPr>
            <w:tcW w:type="dxa" w:w="3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Semaines 1–3</w:t>
            </w:r>
          </w:p>
        </w:tc>
      </w:tr>
      <w:tr>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Vague 2</w:t>
            </w:r>
          </w:p>
        </w:tc>
        <w:tc>
          <w:tcPr>
            <w:tcW w:type="dxa" w:w="2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Groupes 6 à 10</w:t>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300</w:t>
            </w:r>
          </w:p>
        </w:tc>
        <w:tc>
          <w:tcPr>
            <w:tcW w:type="dxa" w:w="35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Semaines 4–6</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Vague 3</w:t>
            </w:r>
          </w:p>
        </w:tc>
        <w:tc>
          <w:tcPr>
            <w:tcW w:type="dxa" w:w="2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Groupes 11 à 15</w:t>
            </w:r>
          </w:p>
        </w:tc>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450</w:t>
            </w:r>
          </w:p>
        </w:tc>
        <w:tc>
          <w:tcPr>
            <w:tcW w:type="dxa" w:w="3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Semaines 7–9</w:t>
            </w:r>
          </w:p>
        </w:tc>
      </w:tr>
      <w:tr>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Vague 4</w:t>
            </w:r>
          </w:p>
        </w:tc>
        <w:tc>
          <w:tcPr>
            <w:tcW w:type="dxa" w:w="2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Groupes 16 à 20</w:t>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600</w:t>
            </w:r>
          </w:p>
        </w:tc>
        <w:tc>
          <w:tcPr>
            <w:tcW w:type="dxa" w:w="35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Semaines 10–12</w:t>
            </w:r>
          </w:p>
        </w:tc>
      </w:tr>
      <w:tr>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Vague 5</w:t>
            </w:r>
          </w:p>
        </w:tc>
        <w:tc>
          <w:tcPr>
            <w:tcW w:type="dxa" w:w="2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Groupe 21 (+ rattrapages)</w:t>
            </w:r>
          </w:p>
        </w:tc>
        <w:tc>
          <w:tcPr>
            <w:tcW w:type="dxa" w:w="1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630</w:t>
            </w:r>
          </w:p>
        </w:tc>
        <w:tc>
          <w:tcPr>
            <w:tcW w:type="dxa" w:w="35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Semaines 13–14</w:t>
            </w:r>
          </w:p>
        </w:tc>
      </w:tr>
    </w:tbl>
    <w:p>
      <w:pPr>
        <w:spacing w:after="120" w:before="80"/>
      </w:pPr>
      <w:r>
        <w:rPr>
          <w:rFonts w:ascii="Arial" w:cs="Arial" w:eastAsia="Arial" w:hAnsi="Arial"/>
          <w:i/>
          <w:iCs/>
          <w:color w:val="595959"/>
          <w:sz w:val="19"/>
          <w:szCs w:val="19"/>
        </w:rPr>
        <w:t xml:space="preserve">Chaque groupe suit les 7 journées soit sur une semaine pleine continue, soit en deux blocs (ex. 4 j + 3 j) pour s’adapter aux contraintes professionnelles des CAC.</w:t>
      </w:r>
    </w:p>
    <w:p>
      <w:r>
        <w:br w:type="page"/>
      </w:r>
    </w:p>
    <w:p>
      <w:pPr>
        <w:pStyle w:val="Heading1"/>
      </w:pPr>
      <w:r>
        <w:rPr>
          <w:rFonts w:ascii="Arial" w:cs="Arial" w:eastAsia="Arial" w:hAnsi="Arial"/>
        </w:rPr>
        <w:t xml:space="preserve">6. Moyens humains</w:t>
      </w:r>
    </w:p>
    <w:p>
      <w:pPr>
        <w:pStyle w:val="Heading2"/>
      </w:pPr>
      <w:r>
        <w:rPr>
          <w:rFonts w:ascii="Arial" w:cs="Arial" w:eastAsia="Arial" w:hAnsi="Arial"/>
        </w:rPr>
        <w:t xml:space="preserve">6.1 Équipe pédagogique</w:t>
      </w:r>
    </w:p>
    <w:p>
      <w:pPr>
        <w:pStyle w:val="ListParagraph"/>
        <w:numPr>
          <w:ilvl w:val="0"/>
          <w:numId w:val="2"/>
        </w:numPr>
        <w:spacing w:after="60"/>
      </w:pPr>
      <w:r>
        <w:rPr>
          <w:rFonts w:ascii="Arial" w:cs="Arial" w:eastAsia="Arial" w:hAnsi="Arial"/>
          <w:b/>
          <w:bCs/>
          <w:sz w:val="22"/>
          <w:szCs w:val="22"/>
        </w:rPr>
        <w:t xml:space="preserve">Formateurs principaux : </w:t>
      </w:r>
      <w:r>
        <w:rPr>
          <w:rFonts w:ascii="Arial" w:cs="Arial" w:eastAsia="Arial" w:hAnsi="Arial"/>
          <w:sz w:val="22"/>
          <w:szCs w:val="22"/>
        </w:rPr>
        <w:t xml:space="preserve">CAC inscrits à la CNCC, expérimentés en audit légal. Prévoir 8 à 12 formateurs pour couvrir les vagues en parallèle et les rotations.</w:t>
      </w:r>
    </w:p>
    <w:p>
      <w:pPr>
        <w:pStyle w:val="ListParagraph"/>
        <w:numPr>
          <w:ilvl w:val="0"/>
          <w:numId w:val="2"/>
        </w:numPr>
        <w:spacing w:after="60"/>
      </w:pPr>
      <w:r>
        <w:rPr>
          <w:rFonts w:ascii="Arial" w:cs="Arial" w:eastAsia="Arial" w:hAnsi="Arial"/>
          <w:b/>
          <w:bCs/>
          <w:sz w:val="22"/>
          <w:szCs w:val="22"/>
        </w:rPr>
        <w:t xml:space="preserve">Intervenants spécialisés : </w:t>
      </w:r>
      <w:r>
        <w:rPr>
          <w:rFonts w:ascii="Arial" w:cs="Arial" w:eastAsia="Arial" w:hAnsi="Arial"/>
          <w:sz w:val="22"/>
          <w:szCs w:val="22"/>
        </w:rPr>
        <w:t xml:space="preserve">experts SCF/IFRS, fiscalité (IBS, TVA, IRG), IT audit / data analytics, LBC-FT, actuariat (IDR).</w:t>
      </w:r>
    </w:p>
    <w:p>
      <w:pPr>
        <w:pStyle w:val="ListParagraph"/>
        <w:numPr>
          <w:ilvl w:val="0"/>
          <w:numId w:val="2"/>
        </w:numPr>
        <w:spacing w:after="60"/>
      </w:pPr>
      <w:r>
        <w:rPr>
          <w:rFonts w:ascii="Arial" w:cs="Arial" w:eastAsia="Arial" w:hAnsi="Arial"/>
          <w:b/>
          <w:bCs/>
          <w:sz w:val="22"/>
          <w:szCs w:val="22"/>
        </w:rPr>
        <w:t xml:space="preserve">Charge par groupe : </w:t>
      </w:r>
      <w:r>
        <w:rPr>
          <w:rFonts w:ascii="Arial" w:cs="Arial" w:eastAsia="Arial" w:hAnsi="Arial"/>
          <w:sz w:val="22"/>
          <w:szCs w:val="22"/>
        </w:rPr>
        <w:t xml:space="preserve">1 formateur référent + interventions ponctuelles d’experts sur les journées J3 à J7.</w:t>
      </w:r>
    </w:p>
    <w:p>
      <w:pPr>
        <w:pStyle w:val="ListParagraph"/>
        <w:numPr>
          <w:ilvl w:val="0"/>
          <w:numId w:val="2"/>
        </w:numPr>
        <w:spacing w:after="60"/>
      </w:pPr>
      <w:r>
        <w:rPr>
          <w:rFonts w:ascii="Arial" w:cs="Arial" w:eastAsia="Arial" w:hAnsi="Arial"/>
          <w:b/>
          <w:bCs/>
          <w:sz w:val="22"/>
          <w:szCs w:val="22"/>
        </w:rPr>
        <w:t xml:space="preserve">Habilitation : </w:t>
      </w:r>
      <w:r>
        <w:rPr>
          <w:rFonts w:ascii="Arial" w:cs="Arial" w:eastAsia="Arial" w:hAnsi="Arial"/>
          <w:sz w:val="22"/>
          <w:szCs w:val="22"/>
        </w:rPr>
        <w:t xml:space="preserve">chaque formateur suit l’atelier de formation des formateurs (P2) avant d’animer.</w:t>
      </w:r>
    </w:p>
    <w:p>
      <w:pPr>
        <w:spacing w:after="80"/>
      </w:pPr>
    </w:p>
    <w:p>
      <w:pPr>
        <w:pStyle w:val="Heading2"/>
      </w:pPr>
      <w:r>
        <w:rPr>
          <w:rFonts w:ascii="Arial" w:cs="Arial" w:eastAsia="Arial" w:hAnsi="Arial"/>
        </w:rPr>
        <w:t xml:space="preserve">6.2 Estimation de la charge formateur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Élément</w:t>
            </w:r>
          </w:p>
        </w:tc>
        <w:tc>
          <w:tcPr>
            <w:tcW w:type="dxa" w:w="234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Volume</w:t>
            </w:r>
          </w:p>
        </w:tc>
        <w:tc>
          <w:tcPr>
            <w:tcW w:type="dxa" w:w="234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Total</w:t>
            </w:r>
          </w:p>
        </w:tc>
      </w:tr>
      <w:tr>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Heures d’animation par groupe</w:t>
            </w:r>
          </w:p>
        </w:tc>
        <w:tc>
          <w:tcPr>
            <w:tcW w:type="dxa" w:w="234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42 h</w:t>
            </w:r>
          </w:p>
        </w:tc>
        <w:tc>
          <w:tcPr>
            <w:tcW w:type="dxa" w:w="234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Nombre de groupes</w:t>
            </w:r>
          </w:p>
        </w:tc>
        <w:tc>
          <w:tcPr>
            <w:tcW w:type="dxa" w:w="234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21</w:t>
            </w:r>
          </w:p>
        </w:tc>
        <w:tc>
          <w:tcPr>
            <w:tcW w:type="dxa" w:w="234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882 h d’animation</w:t>
            </w:r>
          </w:p>
        </w:tc>
      </w:tr>
      <w:tr>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Préparation / correction (forfait/groupe)</w:t>
            </w:r>
          </w:p>
        </w:tc>
        <w:tc>
          <w:tcPr>
            <w:tcW w:type="dxa" w:w="234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 8 h</w:t>
            </w:r>
          </w:p>
        </w:tc>
        <w:tc>
          <w:tcPr>
            <w:tcW w:type="dxa" w:w="234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 168 h</w:t>
            </w:r>
          </w:p>
        </w:tc>
      </w:tr>
      <w:tr>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Charge totale équipe pdagogique</w:t>
            </w:r>
          </w:p>
        </w:tc>
        <w:tc>
          <w:tcPr>
            <w:tcW w:type="dxa" w:w="234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c>
          <w:tcPr>
            <w:tcW w:type="dxa" w:w="234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 1 050 h</w:t>
            </w:r>
          </w:p>
        </w:tc>
      </w:tr>
    </w:tbl>
    <w:p>
      <w:pPr>
        <w:spacing w:after="80"/>
      </w:pPr>
    </w:p>
    <w:p>
      <w:pPr>
        <w:pStyle w:val="Heading2"/>
      </w:pPr>
      <w:r>
        <w:rPr>
          <w:rFonts w:ascii="Arial" w:cs="Arial" w:eastAsia="Arial" w:hAnsi="Arial"/>
        </w:rPr>
        <w:t xml:space="preserve">6.3 Équipe support</w:t>
      </w:r>
    </w:p>
    <w:p>
      <w:pPr>
        <w:pStyle w:val="ListParagraph"/>
        <w:numPr>
          <w:ilvl w:val="0"/>
          <w:numId w:val="2"/>
        </w:numPr>
        <w:spacing w:after="60"/>
      </w:pPr>
      <w:r>
        <w:rPr>
          <w:rFonts w:ascii="Arial" w:cs="Arial" w:eastAsia="Arial" w:hAnsi="Arial"/>
          <w:sz w:val="22"/>
          <w:szCs w:val="22"/>
        </w:rPr>
        <w:t xml:space="preserve">1 chef de projet + 1 assistant (pilotage central).</w:t>
      </w:r>
    </w:p>
    <w:p>
      <w:pPr>
        <w:pStyle w:val="ListParagraph"/>
        <w:numPr>
          <w:ilvl w:val="0"/>
          <w:numId w:val="2"/>
        </w:numPr>
        <w:spacing w:after="60"/>
      </w:pPr>
      <w:r>
        <w:rPr>
          <w:rFonts w:ascii="Arial" w:cs="Arial" w:eastAsia="Arial" w:hAnsi="Arial"/>
          <w:sz w:val="22"/>
          <w:szCs w:val="22"/>
        </w:rPr>
        <w:t xml:space="preserve">1 coordinateur logistique national + correspondants par pôle régional.</w:t>
      </w:r>
    </w:p>
    <w:p>
      <w:pPr>
        <w:pStyle w:val="ListParagraph"/>
        <w:numPr>
          <w:ilvl w:val="0"/>
          <w:numId w:val="2"/>
        </w:numPr>
        <w:spacing w:after="60"/>
      </w:pPr>
      <w:r>
        <w:rPr>
          <w:rFonts w:ascii="Arial" w:cs="Arial" w:eastAsia="Arial" w:hAnsi="Arial"/>
          <w:sz w:val="22"/>
          <w:szCs w:val="22"/>
        </w:rPr>
        <w:t xml:space="preserve">2 gestionnaires administratifs (inscriptions, émargement, attestations).</w:t>
      </w:r>
    </w:p>
    <w:p>
      <w:pPr>
        <w:pStyle w:val="ListParagraph"/>
        <w:numPr>
          <w:ilvl w:val="0"/>
          <w:numId w:val="2"/>
        </w:numPr>
        <w:spacing w:after="60"/>
      </w:pPr>
      <w:r>
        <w:rPr>
          <w:rFonts w:ascii="Arial" w:cs="Arial" w:eastAsia="Arial" w:hAnsi="Arial"/>
          <w:sz w:val="22"/>
          <w:szCs w:val="22"/>
        </w:rPr>
        <w:t xml:space="preserve">1 référent technique pour le distanciel synchrone (plateforme, assistance).</w:t>
      </w:r>
    </w:p>
    <w:p>
      <w:r>
        <w:br w:type="page"/>
      </w:r>
    </w:p>
    <w:p>
      <w:pPr>
        <w:pStyle w:val="Heading1"/>
      </w:pPr>
      <w:r>
        <w:rPr>
          <w:rFonts w:ascii="Arial" w:cs="Arial" w:eastAsia="Arial" w:hAnsi="Arial"/>
        </w:rPr>
        <w:t xml:space="preserve">7. Moyens matériels, pédagogiques et techniques</w:t>
      </w:r>
    </w:p>
    <w:p>
      <w:pPr>
        <w:pStyle w:val="Heading2"/>
      </w:pPr>
      <w:r>
        <w:rPr>
          <w:rFonts w:ascii="Arial" w:cs="Arial" w:eastAsia="Arial" w:hAnsi="Arial"/>
        </w:rPr>
        <w:t xml:space="preserve">7.1 Salles et équipements (par salle)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Élément</w:t>
            </w:r>
          </w:p>
        </w:tc>
        <w:tc>
          <w:tcPr>
            <w:tcW w:type="dxa" w:w="468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Spécification</w:t>
            </w:r>
          </w:p>
        </w:tc>
      </w:tr>
      <w:tr>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Salle</w:t>
            </w:r>
          </w:p>
        </w:tc>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Capacité 30 places, disposition en îlots pour travaux en sous-groupes</w:t>
            </w:r>
          </w:p>
        </w:tc>
      </w:tr>
      <w:tr>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Vidéoprojecteur / écran</w:t>
            </w:r>
          </w:p>
        </w:tc>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1 + tableau / paperboard</w:t>
            </w:r>
          </w:p>
        </w:tc>
      </w:tr>
      <w:tr>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Connexion Internet</w:t>
            </w:r>
          </w:p>
        </w:tc>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Wi-Fi stable (cas pratiques, plateforme, IDEA/ACL)</w:t>
            </w:r>
          </w:p>
        </w:tc>
      </w:tr>
      <w:tr>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Postes / ordinateurs</w:t>
            </w:r>
          </w:p>
        </w:tc>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Stagiaires invités à venir avec PC (Excel) ; postes de secours</w:t>
            </w:r>
          </w:p>
        </w:tc>
      </w:tr>
      <w:tr>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Restauration</w:t>
            </w:r>
          </w:p>
        </w:tc>
        <w:tc>
          <w:tcPr>
            <w:tcW w:type="dxa" w:w="468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Pauses café + déjeuner (journée 6 h)</w:t>
            </w:r>
          </w:p>
        </w:tc>
      </w:tr>
      <w:tr>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Sonorisation</w:t>
            </w:r>
          </w:p>
        </w:tc>
        <w:tc>
          <w:tcPr>
            <w:tcW w:type="dxa" w:w="468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Micro si salle &gt; 25 personnes</w:t>
            </w:r>
          </w:p>
        </w:tc>
      </w:tr>
    </w:tbl>
    <w:p>
      <w:pPr>
        <w:spacing w:after="80"/>
      </w:pPr>
    </w:p>
    <w:p>
      <w:pPr>
        <w:pStyle w:val="Heading2"/>
      </w:pPr>
      <w:r>
        <w:rPr>
          <w:rFonts w:ascii="Arial" w:cs="Arial" w:eastAsia="Arial" w:hAnsi="Arial"/>
        </w:rPr>
        <w:t xml:space="preserve">7.2 Supports pédagogiques (par stagiaire)</w:t>
      </w:r>
    </w:p>
    <w:p>
      <w:pPr>
        <w:pStyle w:val="ListParagraph"/>
        <w:numPr>
          <w:ilvl w:val="0"/>
          <w:numId w:val="2"/>
        </w:numPr>
        <w:spacing w:after="60"/>
      </w:pPr>
      <w:r>
        <w:rPr>
          <w:rFonts w:ascii="Arial" w:cs="Arial" w:eastAsia="Arial" w:hAnsi="Arial"/>
          <w:sz w:val="22"/>
          <w:szCs w:val="22"/>
        </w:rPr>
        <w:t xml:space="preserve">Manuel de référence du programme (53 pages) + livret pédagogique.</w:t>
      </w:r>
    </w:p>
    <w:p>
      <w:pPr>
        <w:pStyle w:val="ListParagraph"/>
        <w:numPr>
          <w:ilvl w:val="0"/>
          <w:numId w:val="2"/>
        </w:numPr>
        <w:spacing w:after="60"/>
      </w:pPr>
      <w:r>
        <w:rPr>
          <w:rFonts w:ascii="Arial" w:cs="Arial" w:eastAsia="Arial" w:hAnsi="Arial"/>
          <w:sz w:val="22"/>
          <w:szCs w:val="22"/>
        </w:rPr>
        <w:t xml:space="preserve">Recueil des Normes Algériennes d’Audit (NAA) et textes (loi 10-01, SCF, décret 11-202).</w:t>
      </w:r>
    </w:p>
    <w:p>
      <w:pPr>
        <w:pStyle w:val="ListParagraph"/>
        <w:numPr>
          <w:ilvl w:val="0"/>
          <w:numId w:val="2"/>
        </w:numPr>
        <w:spacing w:after="60"/>
      </w:pPr>
      <w:r>
        <w:rPr>
          <w:rFonts w:ascii="Arial" w:cs="Arial" w:eastAsia="Arial" w:hAnsi="Arial"/>
          <w:sz w:val="22"/>
          <w:szCs w:val="22"/>
        </w:rPr>
        <w:t xml:space="preserve">Boîte à 67 outils opérationnels indexés aux NAA (supports numériques).</w:t>
      </w:r>
    </w:p>
    <w:p>
      <w:pPr>
        <w:pStyle w:val="ListParagraph"/>
        <w:numPr>
          <w:ilvl w:val="0"/>
          <w:numId w:val="2"/>
        </w:numPr>
        <w:spacing w:after="60"/>
      </w:pPr>
      <w:r>
        <w:rPr>
          <w:rFonts w:ascii="Arial" w:cs="Arial" w:eastAsia="Arial" w:hAnsi="Arial"/>
          <w:sz w:val="22"/>
          <w:szCs w:val="22"/>
        </w:rPr>
        <w:t xml:space="preserve">Cas pratiques anonymisés par journée (J1 à J7) et cas de synthèse.</w:t>
      </w:r>
    </w:p>
    <w:p>
      <w:pPr>
        <w:pStyle w:val="ListParagraph"/>
        <w:numPr>
          <w:ilvl w:val="0"/>
          <w:numId w:val="2"/>
        </w:numPr>
        <w:spacing w:after="60"/>
      </w:pPr>
      <w:r>
        <w:rPr>
          <w:rFonts w:ascii="Arial" w:cs="Arial" w:eastAsia="Arial" w:hAnsi="Arial"/>
          <w:sz w:val="22"/>
          <w:szCs w:val="22"/>
        </w:rPr>
        <w:t xml:space="preserve">Quizz quotidiens (15 questions) + QCM final (50 questions).</w:t>
      </w:r>
    </w:p>
    <w:p>
      <w:pPr>
        <w:spacing w:after="80"/>
      </w:pPr>
    </w:p>
    <w:p>
      <w:pPr>
        <w:pStyle w:val="Heading2"/>
      </w:pPr>
      <w:r>
        <w:rPr>
          <w:rFonts w:ascii="Arial" w:cs="Arial" w:eastAsia="Arial" w:hAnsi="Arial"/>
        </w:rPr>
        <w:t xml:space="preserve">7.3 Plateforme numérique</w:t>
      </w:r>
    </w:p>
    <w:p>
      <w:pPr>
        <w:pStyle w:val="ListParagraph"/>
        <w:numPr>
          <w:ilvl w:val="0"/>
          <w:numId w:val="2"/>
        </w:numPr>
        <w:spacing w:after="60"/>
      </w:pPr>
      <w:r>
        <w:rPr>
          <w:rFonts w:ascii="Arial" w:cs="Arial" w:eastAsia="Arial" w:hAnsi="Arial"/>
          <w:sz w:val="22"/>
          <w:szCs w:val="22"/>
        </w:rPr>
        <w:t xml:space="preserve">Questionnaire d’auto-positionnement amont (en ligne, 30 min).</w:t>
      </w:r>
    </w:p>
    <w:p>
      <w:pPr>
        <w:pStyle w:val="ListParagraph"/>
        <w:numPr>
          <w:ilvl w:val="0"/>
          <w:numId w:val="2"/>
        </w:numPr>
        <w:spacing w:after="60"/>
      </w:pPr>
      <w:r>
        <w:rPr>
          <w:rFonts w:ascii="Arial" w:cs="Arial" w:eastAsia="Arial" w:hAnsi="Arial"/>
          <w:sz w:val="22"/>
          <w:szCs w:val="22"/>
        </w:rPr>
        <w:t xml:space="preserve">Espace de dépôt des supports et outils ; quizz en ligne ; classe virtuelle pour le distanciel synchrone.</w:t>
      </w:r>
    </w:p>
    <w:p>
      <w:pPr>
        <w:pStyle w:val="ListParagraph"/>
        <w:numPr>
          <w:ilvl w:val="0"/>
          <w:numId w:val="2"/>
        </w:numPr>
        <w:spacing w:after="60"/>
      </w:pPr>
      <w:r>
        <w:rPr>
          <w:rFonts w:ascii="Arial" w:cs="Arial" w:eastAsia="Arial" w:hAnsi="Arial"/>
          <w:sz w:val="22"/>
          <w:szCs w:val="22"/>
        </w:rPr>
        <w:t xml:space="preserve">Suivi des émargements et génération des attestations.</w:t>
      </w:r>
    </w:p>
    <w:p>
      <w:r>
        <w:br w:type="page"/>
      </w:r>
    </w:p>
    <w:p>
      <w:pPr>
        <w:pStyle w:val="Heading1"/>
      </w:pPr>
      <w:r>
        <w:rPr>
          <w:rFonts w:ascii="Arial" w:cs="Arial" w:eastAsia="Arial" w:hAnsi="Arial"/>
        </w:rPr>
        <w:t xml:space="preserve">8. Rappel du contenu à déployer (7 journées)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5100"/>
        <w:gridCol w:w="3160"/>
      </w:tblGrid>
      <w:tr>
        <w:trPr>
          <w:tblHeader/>
        </w:trPr>
        <w:tc>
          <w:tcPr>
            <w:tcW w:type="dxa" w:w="11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Jour</w:t>
            </w:r>
          </w:p>
        </w:tc>
        <w:tc>
          <w:tcPr>
            <w:tcW w:type="dxa" w:w="51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Thématique</w:t>
            </w:r>
          </w:p>
        </w:tc>
        <w:tc>
          <w:tcPr>
            <w:tcW w:type="dxa" w:w="31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Normes clés</w:t>
            </w:r>
          </w:p>
        </w:tc>
      </w:tr>
      <w:tr>
        <w:tc>
          <w:tcPr>
            <w:tcW w:type="dxa" w:w="1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J1</w:t>
            </w:r>
          </w:p>
        </w:tc>
        <w:tc>
          <w:tcPr>
            <w:tcW w:type="dxa" w:w="5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Cadre normatif, déontologie et acceptation du mandat</w:t>
            </w:r>
          </w:p>
        </w:tc>
        <w:tc>
          <w:tcPr>
            <w:tcW w:type="dxa" w:w="3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Loi 10-01, NAA 210, LBC/FT (loi 05-01)</w:t>
            </w:r>
          </w:p>
        </w:tc>
      </w:tr>
      <w:tr>
        <w:tc>
          <w:tcPr>
            <w:tcW w:type="dxa" w:w="1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J2</w:t>
            </w:r>
          </w:p>
        </w:tc>
        <w:tc>
          <w:tcPr>
            <w:tcW w:type="dxa" w:w="5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Formalisation, dossier d’audit et communication</w:t>
            </w:r>
          </w:p>
        </w:tc>
        <w:tc>
          <w:tcPr>
            <w:tcW w:type="dxa" w:w="31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NAA 230, 260, 265, 300</w:t>
            </w:r>
          </w:p>
        </w:tc>
      </w:tr>
      <w:tr>
        <w:tc>
          <w:tcPr>
            <w:tcW w:type="dxa" w:w="1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J3</w:t>
            </w:r>
          </w:p>
        </w:tc>
        <w:tc>
          <w:tcPr>
            <w:tcW w:type="dxa" w:w="5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Approche par les risques et phase préliminaire</w:t>
            </w:r>
          </w:p>
        </w:tc>
        <w:tc>
          <w:tcPr>
            <w:tcW w:type="dxa" w:w="3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NAA 315, 320, 330, 240, 450</w:t>
            </w:r>
          </w:p>
        </w:tc>
      </w:tr>
      <w:tr>
        <w:tc>
          <w:tcPr>
            <w:tcW w:type="dxa" w:w="1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J4</w:t>
            </w:r>
          </w:p>
        </w:tc>
        <w:tc>
          <w:tcPr>
            <w:tcW w:type="dxa" w:w="5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Techniques d’audit fondamentales</w:t>
            </w:r>
          </w:p>
        </w:tc>
        <w:tc>
          <w:tcPr>
            <w:tcW w:type="dxa" w:w="31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NAA 500, 501, 505, 520, 530, 610, 620</w:t>
            </w:r>
          </w:p>
        </w:tc>
      </w:tr>
      <w:tr>
        <w:tc>
          <w:tcPr>
            <w:tcW w:type="dxa" w:w="1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J5</w:t>
            </w:r>
          </w:p>
        </w:tc>
        <w:tc>
          <w:tcPr>
            <w:tcW w:type="dxa" w:w="5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Audit des comptes d’actif selon le SCF</w:t>
            </w:r>
          </w:p>
        </w:tc>
        <w:tc>
          <w:tcPr>
            <w:tcW w:type="dxa" w:w="3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SCF (classes 2-5), IAS 2/16/36/38</w:t>
            </w:r>
          </w:p>
        </w:tc>
      </w:tr>
      <w:tr>
        <w:tc>
          <w:tcPr>
            <w:tcW w:type="dxa" w:w="1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J6</w:t>
            </w:r>
          </w:p>
        </w:tc>
        <w:tc>
          <w:tcPr>
            <w:tcW w:type="dxa" w:w="5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Comptes de passif, procédures analytiques, continuité</w:t>
            </w:r>
          </w:p>
        </w:tc>
        <w:tc>
          <w:tcPr>
            <w:tcW w:type="dxa" w:w="31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NAA 520, 570, art. 715 bis C. com.</w:t>
            </w:r>
          </w:p>
        </w:tc>
      </w:tr>
      <w:tr>
        <w:tc>
          <w:tcPr>
            <w:tcW w:type="dxa" w:w="1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J7</w:t>
            </w:r>
          </w:p>
        </w:tc>
        <w:tc>
          <w:tcPr>
            <w:tcW w:type="dxa" w:w="51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Comptes consolidés et synthèse de mission</w:t>
            </w:r>
          </w:p>
        </w:tc>
        <w:tc>
          <w:tcPr>
            <w:tcW w:type="dxa" w:w="31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NAA 600, 700, 705, 706, NAGQ 1</w:t>
            </w:r>
          </w:p>
        </w:tc>
      </w:tr>
    </w:tbl>
    <w:p>
      <w:pPr>
        <w:spacing w:after="120" w:before="80"/>
      </w:pPr>
      <w:r>
        <w:rPr>
          <w:rFonts w:ascii="Arial" w:cs="Arial" w:eastAsia="Arial" w:hAnsi="Arial"/>
          <w:i/>
          <w:iCs/>
          <w:color w:val="595959"/>
          <w:sz w:val="19"/>
          <w:szCs w:val="19"/>
        </w:rPr>
        <w:t xml:space="preserve">Chaque journée = 6 h effectives (08h30–12h00 / 13h30–16h30), quizz quotidien et cas de synthèse en sous-groupes.</w:t>
      </w:r>
    </w:p>
    <w:p>
      <w:pPr>
        <w:spacing w:after="80"/>
      </w:pPr>
    </w:p>
    <w:p>
      <w:pPr>
        <w:pStyle w:val="Heading1"/>
      </w:pPr>
      <w:r>
        <w:rPr>
          <w:rFonts w:ascii="Arial" w:cs="Arial" w:eastAsia="Arial" w:hAnsi="Arial"/>
        </w:rPr>
        <w:t xml:space="preserve">9. Évaluation et certification</w:t>
      </w:r>
    </w:p>
    <w:p>
      <w:pPr>
        <w:pStyle w:val="ListParagraph"/>
        <w:numPr>
          <w:ilvl w:val="0"/>
          <w:numId w:val="2"/>
        </w:numPr>
        <w:spacing w:after="60"/>
      </w:pPr>
      <w:r>
        <w:rPr>
          <w:rFonts w:ascii="Arial" w:cs="Arial" w:eastAsia="Arial" w:hAnsi="Arial"/>
          <w:b/>
          <w:bCs/>
          <w:sz w:val="22"/>
          <w:szCs w:val="22"/>
        </w:rPr>
        <w:t xml:space="preserve">Amont : </w:t>
      </w:r>
      <w:r>
        <w:rPr>
          <w:rFonts w:ascii="Arial" w:cs="Arial" w:eastAsia="Arial" w:hAnsi="Arial"/>
          <w:sz w:val="22"/>
          <w:szCs w:val="22"/>
        </w:rPr>
        <w:t xml:space="preserve">auto-positionnement en ligne (30 min) pour adapter le rythme.</w:t>
      </w:r>
    </w:p>
    <w:p>
      <w:pPr>
        <w:pStyle w:val="ListParagraph"/>
        <w:numPr>
          <w:ilvl w:val="0"/>
          <w:numId w:val="2"/>
        </w:numPr>
        <w:spacing w:after="60"/>
      </w:pPr>
      <w:r>
        <w:rPr>
          <w:rFonts w:ascii="Arial" w:cs="Arial" w:eastAsia="Arial" w:hAnsi="Arial"/>
          <w:b/>
          <w:bCs/>
          <w:sz w:val="22"/>
          <w:szCs w:val="22"/>
        </w:rPr>
        <w:t xml:space="preserve">Au fil de l’eau : </w:t>
      </w:r>
      <w:r>
        <w:rPr>
          <w:rFonts w:ascii="Arial" w:cs="Arial" w:eastAsia="Arial" w:hAnsi="Arial"/>
          <w:sz w:val="22"/>
          <w:szCs w:val="22"/>
        </w:rPr>
        <w:t xml:space="preserve">quizz quotidien (15 questions) + corrections collectives.</w:t>
      </w:r>
    </w:p>
    <w:p>
      <w:pPr>
        <w:pStyle w:val="ListParagraph"/>
        <w:numPr>
          <w:ilvl w:val="0"/>
          <w:numId w:val="2"/>
        </w:numPr>
        <w:spacing w:after="60"/>
      </w:pPr>
      <w:r>
        <w:rPr>
          <w:rFonts w:ascii="Arial" w:cs="Arial" w:eastAsia="Arial" w:hAnsi="Arial"/>
          <w:b/>
          <w:bCs/>
          <w:sz w:val="22"/>
          <w:szCs w:val="22"/>
        </w:rPr>
        <w:t xml:space="preserve">Final : </w:t>
      </w:r>
      <w:r>
        <w:rPr>
          <w:rFonts w:ascii="Arial" w:cs="Arial" w:eastAsia="Arial" w:hAnsi="Arial"/>
          <w:sz w:val="22"/>
          <w:szCs w:val="22"/>
        </w:rPr>
        <w:t xml:space="preserve">QCM 50 questions (1 h) + étude de cas de synthèse (2 h) + oral en sous-groupes.</w:t>
      </w:r>
    </w:p>
    <w:p>
      <w:pPr>
        <w:pStyle w:val="ListParagraph"/>
        <w:numPr>
          <w:ilvl w:val="0"/>
          <w:numId w:val="2"/>
        </w:numPr>
        <w:spacing w:after="60"/>
      </w:pPr>
      <w:r>
        <w:rPr>
          <w:rFonts w:ascii="Arial" w:cs="Arial" w:eastAsia="Arial" w:hAnsi="Arial"/>
          <w:b/>
          <w:bCs/>
          <w:sz w:val="22"/>
          <w:szCs w:val="22"/>
        </w:rPr>
        <w:t xml:space="preserve">Sanction : </w:t>
      </w:r>
      <w:r>
        <w:rPr>
          <w:rFonts w:ascii="Arial" w:cs="Arial" w:eastAsia="Arial" w:hAnsi="Arial"/>
          <w:sz w:val="22"/>
          <w:szCs w:val="22"/>
        </w:rPr>
        <w:t xml:space="preserve">attestation individuelle imputable aux obligations de formation continue, versable au dossier CNCC.</w:t>
      </w:r>
    </w:p>
    <w:p>
      <w:pPr>
        <w:spacing w:after="120" w:before="80"/>
      </w:pPr>
      <w:r>
        <w:rPr>
          <w:rFonts w:ascii="Arial" w:cs="Arial" w:eastAsia="Arial" w:hAnsi="Arial"/>
          <w:i/>
          <w:iCs/>
          <w:color w:val="595959"/>
          <w:sz w:val="19"/>
          <w:szCs w:val="19"/>
        </w:rPr>
        <w:t xml:space="preserve">Volume de correction : 630 QCM + 210 études de cas (sous-groupes de 3) à planifier dans la cellule pédagogique.</w:t>
      </w:r>
    </w:p>
    <w:p>
      <w:r>
        <w:br w:type="page"/>
      </w:r>
    </w:p>
    <w:p>
      <w:pPr>
        <w:pStyle w:val="Heading1"/>
      </w:pPr>
      <w:r>
        <w:rPr>
          <w:rFonts w:ascii="Arial" w:cs="Arial" w:eastAsia="Arial" w:hAnsi="Arial"/>
        </w:rPr>
        <w:t xml:space="preserve">10. Cadre budgétaire (postes à chiffrer)</w:t>
      </w:r>
    </w:p>
    <w:p>
      <w:pPr>
        <w:spacing w:after="120" w:before="0"/>
      </w:pPr>
      <w:r>
        <w:rPr>
          <w:rFonts w:ascii="Arial" w:cs="Arial" w:eastAsia="Arial" w:hAnsi="Arial"/>
          <w:sz w:val="22"/>
          <w:szCs w:val="22"/>
        </w:rPr>
        <w:t xml:space="preserve">Le budget définitif sera arrêté par le COPIL. Les postes ci-dessous structurent le chiffrage ; les coûts unitaires sont à renseigner selon les marchés et conventions de la CNCC.</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000"/>
        <w:gridCol w:w="2760"/>
      </w:tblGrid>
      <w:tr>
        <w:trPr>
          <w:tblHeader/>
        </w:trPr>
        <w:tc>
          <w:tcPr>
            <w:tcW w:type="dxa" w:w="3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Poste de coût</w:t>
            </w:r>
          </w:p>
        </w:tc>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Base de calcul</w:t>
            </w:r>
          </w:p>
        </w:tc>
        <w:tc>
          <w:tcPr>
            <w:tcW w:type="dxa" w:w="27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Coût (à chiffrer)</w:t>
            </w:r>
          </w:p>
        </w:tc>
      </w:tr>
      <w:tr>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Honoraires formateurs</w:t>
            </w:r>
          </w:p>
        </w:tc>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 882 h d’animation + préparation</w:t>
            </w:r>
          </w:p>
        </w:tc>
        <w:tc>
          <w:tcPr>
            <w:tcW w:type="dxa" w:w="27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Intervenants spécialisés</w:t>
            </w:r>
          </w:p>
        </w:tc>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Vacations ciblées J3–J7</w:t>
            </w:r>
          </w:p>
        </w:tc>
        <w:tc>
          <w:tcPr>
            <w:tcW w:type="dxa" w:w="27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Location des salles</w:t>
            </w:r>
          </w:p>
        </w:tc>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5 à 7 salles × durée des vagues</w:t>
            </w:r>
          </w:p>
        </w:tc>
        <w:tc>
          <w:tcPr>
            <w:tcW w:type="dxa" w:w="27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Supports &amp; reprographie</w:t>
            </w:r>
          </w:p>
        </w:tc>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630 kits stagiaires</w:t>
            </w:r>
          </w:p>
        </w:tc>
        <w:tc>
          <w:tcPr>
            <w:tcW w:type="dxa" w:w="27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Restauration / pauses</w:t>
            </w:r>
          </w:p>
        </w:tc>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26 460 heures-stagiaire (147 jours)</w:t>
            </w:r>
          </w:p>
        </w:tc>
        <w:tc>
          <w:tcPr>
            <w:tcW w:type="dxa" w:w="27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Plateforme &amp; distanciel</w:t>
            </w:r>
          </w:p>
        </w:tc>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Licences, classe virtuelle</w:t>
            </w:r>
          </w:p>
        </w:tc>
        <w:tc>
          <w:tcPr>
            <w:tcW w:type="dxa" w:w="27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Déplacements / hébergement</w:t>
            </w:r>
          </w:p>
        </w:tc>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Formateurs inter-régions</w:t>
            </w:r>
          </w:p>
        </w:tc>
        <w:tc>
          <w:tcPr>
            <w:tcW w:type="dxa" w:w="27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Coordination &amp; administration</w:t>
            </w:r>
          </w:p>
        </w:tc>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Équipe projet (durée)</w:t>
            </w:r>
          </w:p>
        </w:tc>
        <w:tc>
          <w:tcPr>
            <w:tcW w:type="dxa" w:w="27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Attestations &amp; archivage</w:t>
            </w:r>
          </w:p>
        </w:tc>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630 attestations</w:t>
            </w:r>
          </w:p>
        </w:tc>
        <w:tc>
          <w:tcPr>
            <w:tcW w:type="dxa" w:w="27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r>
        <w:tc>
          <w:tcPr>
            <w:tcW w:type="dxa" w:w="3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Aléas (5–10 %)</w:t>
            </w:r>
          </w:p>
        </w:tc>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Marge de sécurité</w:t>
            </w:r>
          </w:p>
        </w:tc>
        <w:tc>
          <w:tcPr>
            <w:tcW w:type="dxa" w:w="27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w:t>
            </w:r>
          </w:p>
        </w:tc>
      </w:tr>
    </w:tbl>
    <w:p>
      <w:r>
        <w:br w:type="page"/>
      </w:r>
    </w:p>
    <w:p>
      <w:pPr>
        <w:pStyle w:val="Heading1"/>
      </w:pPr>
      <w:r>
        <w:rPr>
          <w:rFonts w:ascii="Arial" w:cs="Arial" w:eastAsia="Arial" w:hAnsi="Arial"/>
        </w:rPr>
        <w:t xml:space="preserve">11. Gestion des risques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4860"/>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Risque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Niveau</w:t>
            </w:r>
          </w:p>
        </w:tc>
        <w:tc>
          <w:tcPr>
            <w:tcW w:type="dxa" w:w="486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tcPr>
          <w:p>
            <w:r>
              <w:rPr>
                <w:rFonts w:ascii="Arial" w:cs="Arial" w:eastAsia="Arial" w:hAnsi="Arial"/>
                <w:b/>
                <w:bCs/>
                <w:color w:val="FFFFFF"/>
                <w:sz w:val="20"/>
                <w:szCs w:val="20"/>
              </w:rPr>
              <w:t xml:space="preserve">Mesure de maîtrise</w:t>
            </w:r>
          </w:p>
        </w:tc>
      </w:tr>
      <w:tr>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Indisponibilité des formateurs</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Élevé</w:t>
            </w:r>
          </w:p>
        </w:tc>
        <w:tc>
          <w:tcPr>
            <w:tcW w:type="dxa" w:w="48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Vivier élargi (8–12), binômage, planning anticipé</w:t>
            </w:r>
          </w:p>
        </w:tc>
      </w:tr>
      <w:tr>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Absentéisme / désistement des CAC</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Convocations anticipées, sessions de rattrapage, listes d’attente</w:t>
            </w:r>
          </w:p>
        </w:tc>
      </w:tr>
      <w:tr>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Hétérogénéité des niveaux</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Auto-positionnement, groupes par expérience</w:t>
            </w:r>
          </w:p>
        </w:tc>
      </w:tr>
      <w:tr>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Variabilité pédagogique entre groupes</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Formation des formateurs, supports uniques, suivi qualité</w:t>
            </w:r>
          </w:p>
        </w:tc>
      </w:tr>
      <w:tr>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Problèmes techniques (distanciel)</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Référent technique, tests préalables, solution de repli</w:t>
            </w:r>
          </w:p>
        </w:tc>
      </w:tr>
      <w:tr>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Glissement du calendrier</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Pilotage par vagues, jalons COPIL, tableau de bord</w:t>
            </w:r>
          </w:p>
        </w:tc>
      </w:tr>
      <w:tr>
        <w:tc>
          <w:tcPr>
            <w:tcW w:type="dxa" w:w="30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Dépassement budgétaire</w:t>
            </w:r>
          </w:p>
        </w:tc>
        <w:tc>
          <w:tcPr>
            <w:tcW w:type="dxa" w:w="150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pPr>
              <w:jc w:val="center"/>
            </w:pPr>
            <w:r>
              <w:rPr>
                <w:rFonts w:ascii="Arial" w:cs="Arial" w:eastAsia="Arial" w:hAnsi="Arial"/>
                <w:sz w:val="19"/>
                <w:szCs w:val="19"/>
              </w:rPr>
              <w:t xml:space="preserve">Moyen</w:t>
            </w:r>
          </w:p>
        </w:tc>
        <w:tc>
          <w:tcPr>
            <w:tcW w:type="dxa" w:w="4860"/>
            <w:tcBorders>
              <w:top w:val="single" w:color="BFBFBF" w:sz="1"/>
              <w:left w:val="single" w:color="BFBFBF" w:sz="1"/>
              <w:bottom w:val="single" w:color="BFBFBF" w:sz="1"/>
              <w:right w:val="single" w:color="BFBFBF" w:sz="1"/>
            </w:tcBorders>
            <w:shd w:fill="FFFFFF" w:val="clear"/>
            <w:tcMar>
              <w:top w:type="dxa" w:w="60"/>
              <w:left w:type="dxa" w:w="110"/>
              <w:bottom w:type="dxa" w:w="60"/>
              <w:right w:type="dxa" w:w="110"/>
            </w:tcMar>
            <w:vAlign w:val="center"/>
          </w:tcPr>
          <w:p>
            <w:r>
              <w:rPr>
                <w:rFonts w:ascii="Arial" w:cs="Arial" w:eastAsia="Arial" w:hAnsi="Arial"/>
                <w:sz w:val="19"/>
                <w:szCs w:val="19"/>
              </w:rPr>
              <w:t xml:space="preserve">Suivi des engagements, marge d’aléas</w:t>
            </w:r>
          </w:p>
        </w:tc>
      </w:tr>
      <w:tr>
        <w:tc>
          <w:tcPr>
            <w:tcW w:type="dxa" w:w="3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Non-conformité contrôle qualité CNCC</w:t>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rFonts w:ascii="Arial" w:cs="Arial" w:eastAsia="Arial" w:hAnsi="Arial"/>
                <w:sz w:val="19"/>
                <w:szCs w:val="19"/>
              </w:rPr>
              <w:t xml:space="preserve">Élevé</w:t>
            </w:r>
          </w:p>
        </w:tc>
        <w:tc>
          <w:tcPr>
            <w:tcW w:type="dxa" w:w="486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r>
              <w:rPr>
                <w:rFonts w:ascii="Arial" w:cs="Arial" w:eastAsia="Arial" w:hAnsi="Arial"/>
                <w:sz w:val="19"/>
                <w:szCs w:val="19"/>
              </w:rPr>
              <w:t xml:space="preserve">Traçabilité émargement/évaluation, archivage rigoureux</w:t>
            </w:r>
          </w:p>
        </w:tc>
      </w:tr>
    </w:tbl>
    <w:p>
      <w:pPr>
        <w:spacing w:after="80"/>
      </w:pPr>
    </w:p>
    <w:p>
      <w:pPr>
        <w:pStyle w:val="Heading1"/>
      </w:pPr>
      <w:r>
        <w:rPr>
          <w:rFonts w:ascii="Arial" w:cs="Arial" w:eastAsia="Arial" w:hAnsi="Arial"/>
        </w:rPr>
        <w:t xml:space="preserve">12. Pilotage, indicateurs et reporting</w:t>
      </w:r>
    </w:p>
    <w:p>
      <w:pPr>
        <w:pStyle w:val="ListParagraph"/>
        <w:numPr>
          <w:ilvl w:val="0"/>
          <w:numId w:val="2"/>
        </w:numPr>
        <w:spacing w:after="60"/>
      </w:pPr>
      <w:r>
        <w:rPr>
          <w:rFonts w:ascii="Arial" w:cs="Arial" w:eastAsia="Arial" w:hAnsi="Arial"/>
          <w:sz w:val="22"/>
          <w:szCs w:val="22"/>
        </w:rPr>
        <w:t xml:space="preserve">Taux de couverture : nombre de CAC formés / 630 (objectif 100 %).</w:t>
      </w:r>
    </w:p>
    <w:p>
      <w:pPr>
        <w:pStyle w:val="ListParagraph"/>
        <w:numPr>
          <w:ilvl w:val="0"/>
          <w:numId w:val="2"/>
        </w:numPr>
        <w:spacing w:after="60"/>
      </w:pPr>
      <w:r>
        <w:rPr>
          <w:rFonts w:ascii="Arial" w:cs="Arial" w:eastAsia="Arial" w:hAnsi="Arial"/>
          <w:sz w:val="22"/>
          <w:szCs w:val="22"/>
        </w:rPr>
        <w:t xml:space="preserve">Taux de présence et d’assiduité par groupe (émargement).</w:t>
      </w:r>
    </w:p>
    <w:p>
      <w:pPr>
        <w:pStyle w:val="ListParagraph"/>
        <w:numPr>
          <w:ilvl w:val="0"/>
          <w:numId w:val="2"/>
        </w:numPr>
        <w:spacing w:after="60"/>
      </w:pPr>
      <w:r>
        <w:rPr>
          <w:rFonts w:ascii="Arial" w:cs="Arial" w:eastAsia="Arial" w:hAnsi="Arial"/>
          <w:sz w:val="22"/>
          <w:szCs w:val="22"/>
        </w:rPr>
        <w:t xml:space="preserve">Taux de réussite à l’évaluation finale et répartition des notes.</w:t>
      </w:r>
    </w:p>
    <w:p>
      <w:pPr>
        <w:pStyle w:val="ListParagraph"/>
        <w:numPr>
          <w:ilvl w:val="0"/>
          <w:numId w:val="2"/>
        </w:numPr>
        <w:spacing w:after="60"/>
      </w:pPr>
      <w:r>
        <w:rPr>
          <w:rFonts w:ascii="Arial" w:cs="Arial" w:eastAsia="Arial" w:hAnsi="Arial"/>
          <w:sz w:val="22"/>
          <w:szCs w:val="22"/>
        </w:rPr>
        <w:t xml:space="preserve">Taux de satisfaction (évaluation à chaud par journée / fin de cycle).</w:t>
      </w:r>
    </w:p>
    <w:p>
      <w:pPr>
        <w:pStyle w:val="ListParagraph"/>
        <w:numPr>
          <w:ilvl w:val="0"/>
          <w:numId w:val="2"/>
        </w:numPr>
        <w:spacing w:after="60"/>
      </w:pPr>
      <w:r>
        <w:rPr>
          <w:rFonts w:ascii="Arial" w:cs="Arial" w:eastAsia="Arial" w:hAnsi="Arial"/>
          <w:sz w:val="22"/>
          <w:szCs w:val="22"/>
        </w:rPr>
        <w:t xml:space="preserve">Respect du calendrier des vagues (avancement vs planning).</w:t>
      </w:r>
    </w:p>
    <w:p>
      <w:pPr>
        <w:pStyle w:val="ListParagraph"/>
        <w:numPr>
          <w:ilvl w:val="0"/>
          <w:numId w:val="2"/>
        </w:numPr>
        <w:spacing w:after="60"/>
      </w:pPr>
      <w:r>
        <w:rPr>
          <w:rFonts w:ascii="Arial" w:cs="Arial" w:eastAsia="Arial" w:hAnsi="Arial"/>
          <w:sz w:val="22"/>
          <w:szCs w:val="22"/>
        </w:rPr>
        <w:t xml:space="preserve">Suivi budgétaire (engagé / réalisé).</w:t>
      </w:r>
    </w:p>
    <w:p>
      <w:pPr>
        <w:spacing w:after="120" w:before="80"/>
      </w:pPr>
      <w:r>
        <w:rPr>
          <w:rFonts w:ascii="Arial" w:cs="Arial" w:eastAsia="Arial" w:hAnsi="Arial"/>
          <w:sz w:val="22"/>
          <w:szCs w:val="22"/>
        </w:rPr>
        <w:t xml:space="preserve">Reporting : tableau de bord hebdomadaire à la direction de programme, point mensuel au COPIL, rapport de bilan final remis à la CNCC.</w:t>
      </w:r>
    </w:p>
    <w:p>
      <w:pPr>
        <w:spacing w:after="80"/>
      </w:pPr>
    </w:p>
    <w:p>
      <w:pPr>
        <w:pStyle w:val="Heading1"/>
      </w:pPr>
      <w:r>
        <w:rPr>
          <w:rFonts w:ascii="Arial" w:cs="Arial" w:eastAsia="Arial" w:hAnsi="Arial"/>
        </w:rPr>
        <w:t xml:space="preserve">13. Check-list opérationnelle par session</w:t>
      </w:r>
    </w:p>
    <w:p>
      <w:pPr>
        <w:pStyle w:val="Heading3"/>
      </w:pPr>
      <w:r>
        <w:rPr>
          <w:rFonts w:ascii="Arial" w:cs="Arial" w:eastAsia="Arial" w:hAnsi="Arial"/>
        </w:rPr>
        <w:t xml:space="preserve">Avant la session</w:t>
      </w:r>
    </w:p>
    <w:p>
      <w:pPr>
        <w:pStyle w:val="ListParagraph"/>
        <w:numPr>
          <w:ilvl w:val="0"/>
          <w:numId w:val="2"/>
        </w:numPr>
        <w:spacing w:after="60"/>
      </w:pPr>
      <w:r>
        <w:rPr>
          <w:rFonts w:ascii="Arial" w:cs="Arial" w:eastAsia="Arial" w:hAnsi="Arial"/>
          <w:sz w:val="22"/>
          <w:szCs w:val="22"/>
        </w:rPr>
        <w:t xml:space="preserve">Liste des 30 stagiaires arrêtée ; convocations envoyées ; auto-positionnement complété.</w:t>
      </w:r>
    </w:p>
    <w:p>
      <w:pPr>
        <w:pStyle w:val="ListParagraph"/>
        <w:numPr>
          <w:ilvl w:val="0"/>
          <w:numId w:val="2"/>
        </w:numPr>
        <w:spacing w:after="60"/>
      </w:pPr>
      <w:r>
        <w:rPr>
          <w:rFonts w:ascii="Arial" w:cs="Arial" w:eastAsia="Arial" w:hAnsi="Arial"/>
          <w:sz w:val="22"/>
          <w:szCs w:val="22"/>
        </w:rPr>
        <w:t xml:space="preserve">Salle réservée et équipée ; supports imprimés et numériques prêts ; formateur confirmé.</w:t>
      </w:r>
    </w:p>
    <w:p>
      <w:pPr>
        <w:pStyle w:val="ListParagraph"/>
        <w:numPr>
          <w:ilvl w:val="0"/>
          <w:numId w:val="2"/>
        </w:numPr>
        <w:spacing w:after="60"/>
      </w:pPr>
      <w:r>
        <w:rPr>
          <w:rFonts w:ascii="Arial" w:cs="Arial" w:eastAsia="Arial" w:hAnsi="Arial"/>
          <w:sz w:val="22"/>
          <w:szCs w:val="22"/>
        </w:rPr>
        <w:t xml:space="preserve">Feuilles d’émargement et planning des intervenants préparés.</w:t>
      </w:r>
    </w:p>
    <w:p>
      <w:pPr>
        <w:pStyle w:val="Heading3"/>
      </w:pPr>
      <w:r>
        <w:rPr>
          <w:rFonts w:ascii="Arial" w:cs="Arial" w:eastAsia="Arial" w:hAnsi="Arial"/>
        </w:rPr>
        <w:t xml:space="preserve">Pendant la session</w:t>
      </w:r>
    </w:p>
    <w:p>
      <w:pPr>
        <w:pStyle w:val="ListParagraph"/>
        <w:numPr>
          <w:ilvl w:val="0"/>
          <w:numId w:val="2"/>
        </w:numPr>
        <w:spacing w:after="60"/>
      </w:pPr>
      <w:r>
        <w:rPr>
          <w:rFonts w:ascii="Arial" w:cs="Arial" w:eastAsia="Arial" w:hAnsi="Arial"/>
          <w:sz w:val="22"/>
          <w:szCs w:val="22"/>
        </w:rPr>
        <w:t xml:space="preserve">Émargement matin/après-midi chaque jour ; quizz quotidiens administrés.</w:t>
      </w:r>
    </w:p>
    <w:p>
      <w:pPr>
        <w:pStyle w:val="ListParagraph"/>
        <w:numPr>
          <w:ilvl w:val="0"/>
          <w:numId w:val="2"/>
        </w:numPr>
        <w:spacing w:after="60"/>
      </w:pPr>
      <w:r>
        <w:rPr>
          <w:rFonts w:ascii="Arial" w:cs="Arial" w:eastAsia="Arial" w:hAnsi="Arial"/>
          <w:sz w:val="22"/>
          <w:szCs w:val="22"/>
        </w:rPr>
        <w:t xml:space="preserve">Cas de synthèse en sous-groupes ; suivi de la satisfaction.</w:t>
      </w:r>
    </w:p>
    <w:p>
      <w:pPr>
        <w:pStyle w:val="Heading3"/>
      </w:pPr>
      <w:r>
        <w:rPr>
          <w:rFonts w:ascii="Arial" w:cs="Arial" w:eastAsia="Arial" w:hAnsi="Arial"/>
        </w:rPr>
        <w:t xml:space="preserve">Après la session</w:t>
      </w:r>
    </w:p>
    <w:p>
      <w:pPr>
        <w:pStyle w:val="ListParagraph"/>
        <w:numPr>
          <w:ilvl w:val="0"/>
          <w:numId w:val="2"/>
        </w:numPr>
        <w:spacing w:after="60"/>
      </w:pPr>
      <w:r>
        <w:rPr>
          <w:rFonts w:ascii="Arial" w:cs="Arial" w:eastAsia="Arial" w:hAnsi="Arial"/>
          <w:sz w:val="22"/>
          <w:szCs w:val="22"/>
        </w:rPr>
        <w:t xml:space="preserve">Correction QCM + étude de cas ; saisie des notes.</w:t>
      </w:r>
    </w:p>
    <w:p>
      <w:pPr>
        <w:pStyle w:val="ListParagraph"/>
        <w:numPr>
          <w:ilvl w:val="0"/>
          <w:numId w:val="2"/>
        </w:numPr>
        <w:spacing w:after="60"/>
      </w:pPr>
      <w:r>
        <w:rPr>
          <w:rFonts w:ascii="Arial" w:cs="Arial" w:eastAsia="Arial" w:hAnsi="Arial"/>
          <w:sz w:val="22"/>
          <w:szCs w:val="22"/>
        </w:rPr>
        <w:t xml:space="preserve">Édition et remise des attestations ; archivage du dossier de session (contrôle qualité CNCC).</w:t>
      </w:r>
    </w:p>
    <w:p>
      <w:pPr>
        <w:pStyle w:val="ListParagraph"/>
        <w:numPr>
          <w:ilvl w:val="0"/>
          <w:numId w:val="2"/>
        </w:numPr>
        <w:spacing w:after="60"/>
      </w:pPr>
      <w:r>
        <w:rPr>
          <w:rFonts w:ascii="Arial" w:cs="Arial" w:eastAsia="Arial" w:hAnsi="Arial"/>
          <w:sz w:val="22"/>
          <w:szCs w:val="22"/>
        </w:rPr>
        <w:t xml:space="preserve">Remontée des indicateurs au tableau de bord.</w:t>
      </w:r>
    </w:p>
    <w:p>
      <w:pPr>
        <w:spacing w:after="160"/>
      </w:pPr>
    </w:p>
    <w:p>
      <w:pPr>
        <w:pBdr>
          <w:bottom w:val="single" w:color="2E7D32" w:sz="10" w:space="1"/>
        </w:pBdr>
        <w:spacing w:after="120"/>
      </w:pPr>
    </w:p>
    <w:p>
      <w:pPr>
        <w:spacing w:after="120" w:before="0"/>
        <w:jc w:val="center"/>
      </w:pPr>
      <w:r>
        <w:rPr>
          <w:rFonts w:ascii="Arial" w:cs="Arial" w:eastAsia="Arial" w:hAnsi="Arial"/>
          <w:i/>
          <w:iCs/>
          <w:color w:val="595959"/>
          <w:sz w:val="18"/>
          <w:szCs w:val="18"/>
        </w:rPr>
        <w:t xml:space="preserve">Document de pilotage interne — CNCC — Programme national de formation continue (42 h). À ajuster après validation du COPIL.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2"/>
      </w:pBdr>
      <w:tabs>
        <w:tab w:val="right" w:pos="9360"/>
      </w:tabs>
    </w:pPr>
    <w:r>
      <w:rPr>
        <w:rFonts w:ascii="Arial" w:cs="Arial" w:eastAsia="Arial" w:hAnsi="Arial"/>
        <w:color w:val="595959"/>
        <w:sz w:val="16"/>
        <w:szCs w:val="16"/>
      </w:rPr>
      <w:t xml:space="preserve">Juin 2026</w:t>
    </w:r>
    <w:r>
      <w:rPr>
        <w:rFonts w:ascii="Arial" w:cs="Arial" w:eastAsia="Arial" w:hAnsi="Arial"/>
        <w:color w:val="595959"/>
        <w:sz w:val="16"/>
        <w:szCs w:val="16"/>
      </w:rPr>
      <w:t xml:space="preserve">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color w:val="595959"/>
        <w:sz w:val="16"/>
        <w:szCs w:val="16"/>
      </w:rPr>
      <w:t xml:space="preserve"> /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tabs>
        <w:tab w:val="right" w:pos="9360"/>
      </w:tabs>
    </w:pPr>
    <w:r>
      <w:rPr>
        <w:rFonts w:ascii="Arial" w:cs="Arial" w:eastAsia="Arial" w:hAnsi="Arial"/>
        <w:color w:val="595959"/>
        <w:sz w:val="16"/>
        <w:szCs w:val="16"/>
      </w:rPr>
      <w:t xml:space="preserve">CNCC — Plan d’action · Formation continue 42 h</w:t>
    </w:r>
    <w:r>
      <w:rPr>
        <w:rFonts w:ascii="Arial" w:cs="Arial" w:eastAsia="Arial" w:hAnsi="Arial"/>
        <w:color w:val="595959"/>
        <w:sz w:val="16"/>
        <w:szCs w:val="16"/>
      </w:rPr>
      <w:t xml:space="preserve">	Programme national des CAC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4"/>
      </w:pBdr>
      <w:spacing w:after="160" w:before="240"/>
      <w:outlineLvl w:val="0"/>
    </w:pPr>
    <w:rPr>
      <w:rFonts w:ascii="Arial" w:cs="Arial" w:eastAsia="Arial" w:hAnsi="Arial"/>
      <w:b/>
      <w:bCs/>
      <w:color w:val="1F3864"/>
      <w:sz w:val="30"/>
      <w:szCs w:val="30"/>
    </w:rPr>
  </w:style>
  <w:style w:type="paragraph" w:styleId="Heading2">
    <w:name w:val="Heading 2"/>
    <w:basedOn w:val="Normal"/>
    <w:next w:val="Normal"/>
    <w:qFormat/>
    <w:pPr>
      <w:spacing w:after="100" w:before="180"/>
      <w:outlineLvl w:val="1"/>
    </w:pPr>
    <w:rPr>
      <w:rFonts w:ascii="Arial" w:cs="Arial" w:eastAsia="Arial" w:hAnsi="Arial"/>
      <w:b/>
      <w:bCs/>
      <w:color w:val="2E75B6"/>
      <w:sz w:val="25"/>
      <w:szCs w:val="25"/>
    </w:rPr>
  </w:style>
  <w:style w:type="paragraph" w:styleId="Heading3">
    <w:name w:val="Heading 3"/>
    <w:basedOn w:val="Normal"/>
    <w:next w:val="Normal"/>
    <w:qFormat/>
    <w:pPr>
      <w:spacing w:after="60" w:before="12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2026-05-29T00:06:49.703Z</dcterms:created>
  <dcterms:modified xsi:type="dcterms:W3CDTF">2026-05-29T00:06:49.703Z</dcterms:modified>
</cp:coreProperties>
</file>

<file path=docProps/custom.xml><?xml version="1.0" encoding="utf-8"?>
<Properties xmlns="http://schemas.openxmlformats.org/officeDocument/2006/custom-properties" xmlns:vt="http://schemas.openxmlformats.org/officeDocument/2006/docPropsVTypes"/>
</file>